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76926" w14:textId="77777777" w:rsidR="00624A4E" w:rsidRPr="00011B46" w:rsidRDefault="00624A4E" w:rsidP="00624A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011B46">
        <w:rPr>
          <w:rFonts w:ascii="Times New Roman" w:hAnsi="Times New Roman" w:cs="Times New Roman"/>
          <w:b/>
          <w:bCs/>
          <w:sz w:val="24"/>
          <w:szCs w:val="24"/>
        </w:rPr>
        <w:t>idal</w:t>
      </w:r>
      <w:r w:rsidRPr="007A5FBC">
        <w:rPr>
          <w:rFonts w:ascii="Times New Roman" w:hAnsi="Times New Roman" w:cs="Times New Roman"/>
          <w:b/>
          <w:bCs/>
          <w:sz w:val="24"/>
          <w:szCs w:val="24"/>
          <w:lang w:val="en-AU"/>
        </w:rPr>
        <w:t>-fluvial</w:t>
      </w:r>
      <w:r w:rsidRPr="00011B46">
        <w:rPr>
          <w:rFonts w:ascii="Times New Roman" w:hAnsi="Times New Roman" w:cs="Times New Roman"/>
          <w:b/>
          <w:bCs/>
          <w:sz w:val="24"/>
          <w:szCs w:val="24"/>
        </w:rPr>
        <w:t xml:space="preserve"> interaction in a delta exposed to high seasonal river runoff </w:t>
      </w:r>
    </w:p>
    <w:p w14:paraId="790A66F2" w14:textId="77777777" w:rsidR="00624A4E" w:rsidRDefault="00624A4E" w:rsidP="00624A4E">
      <w:pPr>
        <w:pStyle w:val="Authors"/>
        <w:jc w:val="center"/>
      </w:pPr>
      <w:r>
        <w:t>M. W. E. Elahi</w:t>
      </w:r>
      <w:r>
        <w:rPr>
          <w:vertAlign w:val="superscript"/>
        </w:rPr>
        <w:t>1,2</w:t>
      </w:r>
      <w:r>
        <w:t xml:space="preserve">, I. </w:t>
      </w:r>
      <w:proofErr w:type="spellStart"/>
      <w:r>
        <w:rPr>
          <w:lang w:val="en-AU"/>
        </w:rPr>
        <w:t>Jalón</w:t>
      </w:r>
      <w:proofErr w:type="spellEnd"/>
      <w:r>
        <w:rPr>
          <w:lang w:val="en-AU"/>
        </w:rPr>
        <w:t>-Rojas</w:t>
      </w:r>
      <w:r>
        <w:rPr>
          <w:vertAlign w:val="superscript"/>
        </w:rPr>
        <w:t>3,2</w:t>
      </w:r>
      <w:r>
        <w:rPr>
          <w:lang w:val="en-AU"/>
        </w:rPr>
        <w:t>,</w:t>
      </w:r>
      <w:r>
        <w:t xml:space="preserve"> X. H. Wang</w:t>
      </w:r>
      <w:r>
        <w:rPr>
          <w:vertAlign w:val="superscript"/>
        </w:rPr>
        <w:t>1,2</w:t>
      </w:r>
      <w:r>
        <w:t xml:space="preserve"> and E. A. Ritchie</w:t>
      </w:r>
      <w:r>
        <w:rPr>
          <w:vertAlign w:val="superscript"/>
        </w:rPr>
        <w:t>2</w:t>
      </w:r>
    </w:p>
    <w:p w14:paraId="1F1C3F63" w14:textId="77777777" w:rsidR="00624A4E" w:rsidRDefault="00624A4E" w:rsidP="00624A4E">
      <w:pPr>
        <w:pStyle w:val="Affiliation"/>
      </w:pPr>
      <w:r>
        <w:rPr>
          <w:vertAlign w:val="superscript"/>
        </w:rPr>
        <w:t>1</w:t>
      </w:r>
      <w:r>
        <w:t>The Sino-Australian Research Consortium for Coastal Management, UNSW Canberra, Canberra, ACT, Australia.</w:t>
      </w:r>
    </w:p>
    <w:p w14:paraId="19B87AFB" w14:textId="77777777" w:rsidR="00624A4E" w:rsidRDefault="00624A4E" w:rsidP="00624A4E">
      <w:pPr>
        <w:pStyle w:val="Affiliation"/>
        <w:rPr>
          <w:lang w:val="en-AU"/>
        </w:rPr>
      </w:pPr>
      <w:r>
        <w:rPr>
          <w:vertAlign w:val="superscript"/>
        </w:rPr>
        <w:t>2</w:t>
      </w:r>
      <w:r>
        <w:rPr>
          <w:lang w:val="en-AU"/>
        </w:rPr>
        <w:t>School of Science, UNSW Canberra, Canberra, ACT, Australia</w:t>
      </w:r>
    </w:p>
    <w:p w14:paraId="5552A3A2" w14:textId="77777777" w:rsidR="00624A4E" w:rsidRDefault="00624A4E" w:rsidP="00624A4E">
      <w:pPr>
        <w:pStyle w:val="Affiliation"/>
      </w:pPr>
      <w:r>
        <w:rPr>
          <w:vertAlign w:val="superscript"/>
        </w:rPr>
        <w:t>3</w:t>
      </w:r>
      <w:r>
        <w:t xml:space="preserve"> UMR5805 EPOC, CNRS, OASU, University of Bordeaux, Pessac, France </w:t>
      </w:r>
    </w:p>
    <w:p w14:paraId="60080977" w14:textId="77777777" w:rsidR="00624A4E" w:rsidRDefault="00624A4E" w:rsidP="00D11778">
      <w:pPr>
        <w:jc w:val="both"/>
        <w:rPr>
          <w:rFonts w:ascii="Times New Roman" w:hAnsi="Times New Roman" w:cs="Times New Roman"/>
        </w:rPr>
      </w:pPr>
    </w:p>
    <w:p w14:paraId="12E8FCC3" w14:textId="0F357446" w:rsidR="00624A4E" w:rsidRDefault="00624A4E" w:rsidP="00624A4E">
      <w:pPr>
        <w:jc w:val="center"/>
        <w:rPr>
          <w:rFonts w:ascii="Times New Roman" w:hAnsi="Times New Roman" w:cs="Times New Roman"/>
        </w:rPr>
      </w:pPr>
    </w:p>
    <w:p w14:paraId="10BA5416" w14:textId="3B880A8E" w:rsidR="00624A4E" w:rsidRPr="00624A4E" w:rsidRDefault="00624A4E" w:rsidP="00624A4E">
      <w:pPr>
        <w:jc w:val="center"/>
        <w:rPr>
          <w:rFonts w:ascii="Times New Roman" w:hAnsi="Times New Roman" w:cs="Times New Roman"/>
          <w:b/>
          <w:bCs/>
        </w:rPr>
      </w:pPr>
      <w:r w:rsidRPr="00624A4E">
        <w:rPr>
          <w:rFonts w:ascii="Times New Roman" w:hAnsi="Times New Roman" w:cs="Times New Roman"/>
          <w:b/>
          <w:bCs/>
        </w:rPr>
        <w:t>Abstract</w:t>
      </w:r>
    </w:p>
    <w:p w14:paraId="3AE114A9" w14:textId="2F600D3F" w:rsidR="00270808" w:rsidRDefault="00830FED" w:rsidP="00D117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B52E53" w:rsidRPr="00011B46">
        <w:rPr>
          <w:rFonts w:ascii="Times New Roman" w:hAnsi="Times New Roman" w:cs="Times New Roman"/>
        </w:rPr>
        <w:t>nderstand</w:t>
      </w:r>
      <w:r>
        <w:rPr>
          <w:rFonts w:ascii="Times New Roman" w:hAnsi="Times New Roman" w:cs="Times New Roman"/>
        </w:rPr>
        <w:t>ing</w:t>
      </w:r>
      <w:r w:rsidR="00B52E53" w:rsidRPr="00011B46">
        <w:rPr>
          <w:rFonts w:ascii="Times New Roman" w:hAnsi="Times New Roman" w:cs="Times New Roman"/>
        </w:rPr>
        <w:t xml:space="preserve"> the</w:t>
      </w:r>
      <w:r w:rsidR="00113900">
        <w:rPr>
          <w:rFonts w:ascii="Times New Roman" w:hAnsi="Times New Roman" w:cs="Times New Roman"/>
        </w:rPr>
        <w:t xml:space="preserve"> </w:t>
      </w:r>
      <w:r w:rsidR="00B52E53" w:rsidRPr="00011B46">
        <w:rPr>
          <w:rFonts w:ascii="Times New Roman" w:hAnsi="Times New Roman" w:cs="Times New Roman"/>
        </w:rPr>
        <w:t xml:space="preserve">interaction </w:t>
      </w:r>
      <w:r>
        <w:rPr>
          <w:rFonts w:ascii="Times New Roman" w:hAnsi="Times New Roman" w:cs="Times New Roman"/>
        </w:rPr>
        <w:t xml:space="preserve">between river discharge and tidal waves </w:t>
      </w:r>
      <w:r w:rsidR="00B52E53" w:rsidRPr="00011B46">
        <w:rPr>
          <w:rFonts w:ascii="Times New Roman" w:hAnsi="Times New Roman" w:cs="Times New Roman"/>
        </w:rPr>
        <w:t>in delta</w:t>
      </w:r>
      <w:r>
        <w:rPr>
          <w:rFonts w:ascii="Times New Roman" w:hAnsi="Times New Roman" w:cs="Times New Roman"/>
        </w:rPr>
        <w:t xml:space="preserve">s and estuaries subject to </w:t>
      </w:r>
      <w:r w:rsidR="00B52E53" w:rsidRPr="00011B46">
        <w:rPr>
          <w:rFonts w:ascii="Times New Roman" w:hAnsi="Times New Roman" w:cs="Times New Roman"/>
        </w:rPr>
        <w:t xml:space="preserve">varying river runoff </w:t>
      </w:r>
      <w:r>
        <w:rPr>
          <w:rFonts w:ascii="Times New Roman" w:hAnsi="Times New Roman" w:cs="Times New Roman"/>
        </w:rPr>
        <w:t>is</w:t>
      </w:r>
      <w:r w:rsidR="00171BA4">
        <w:rPr>
          <w:rFonts w:ascii="Times New Roman" w:hAnsi="Times New Roman" w:cs="Times New Roman"/>
        </w:rPr>
        <w:t xml:space="preserve"> essential to unravel complex transport patterns and the evolution of the system</w:t>
      </w:r>
      <w:r w:rsidR="00AA439C">
        <w:rPr>
          <w:rFonts w:ascii="Times New Roman" w:hAnsi="Times New Roman" w:cs="Times New Roman"/>
        </w:rPr>
        <w:t xml:space="preserve">. </w:t>
      </w:r>
      <w:r w:rsidR="00B52E53" w:rsidRPr="00011B46">
        <w:rPr>
          <w:rFonts w:ascii="Times New Roman" w:hAnsi="Times New Roman" w:cs="Times New Roman"/>
        </w:rPr>
        <w:t>This study focuses on the nonlinear tidal</w:t>
      </w:r>
      <w:r w:rsidR="00113900">
        <w:rPr>
          <w:rFonts w:ascii="Times New Roman" w:hAnsi="Times New Roman" w:cs="Times New Roman"/>
        </w:rPr>
        <w:t>-fl</w:t>
      </w:r>
      <w:r w:rsidR="00AA439C">
        <w:rPr>
          <w:rFonts w:ascii="Times New Roman" w:hAnsi="Times New Roman" w:cs="Times New Roman"/>
        </w:rPr>
        <w:t>u</w:t>
      </w:r>
      <w:r w:rsidR="00113900">
        <w:rPr>
          <w:rFonts w:ascii="Times New Roman" w:hAnsi="Times New Roman" w:cs="Times New Roman"/>
        </w:rPr>
        <w:t>v</w:t>
      </w:r>
      <w:r w:rsidR="00AA439C">
        <w:rPr>
          <w:rFonts w:ascii="Times New Roman" w:hAnsi="Times New Roman" w:cs="Times New Roman"/>
        </w:rPr>
        <w:t>ial</w:t>
      </w:r>
      <w:r w:rsidR="00B52E53" w:rsidRPr="00011B46">
        <w:rPr>
          <w:rFonts w:ascii="Times New Roman" w:hAnsi="Times New Roman" w:cs="Times New Roman"/>
        </w:rPr>
        <w:t xml:space="preserve"> interaction along the Ganges-Brahmaputra-Meghna delta</w:t>
      </w:r>
      <w:r w:rsidR="00AA439C">
        <w:rPr>
          <w:rFonts w:ascii="Times New Roman" w:hAnsi="Times New Roman" w:cs="Times New Roman"/>
        </w:rPr>
        <w:t>, a macro tidal estuary exposed to monsoon</w:t>
      </w:r>
      <w:r w:rsidR="00B52E53" w:rsidRPr="00011B46">
        <w:rPr>
          <w:rFonts w:ascii="Times New Roman" w:hAnsi="Times New Roman" w:cs="Times New Roman"/>
        </w:rPr>
        <w:t xml:space="preserve">. </w:t>
      </w:r>
      <w:r w:rsidR="00E65518" w:rsidRPr="00011B46">
        <w:rPr>
          <w:rFonts w:ascii="Times New Roman" w:hAnsi="Times New Roman" w:cs="Times New Roman"/>
        </w:rPr>
        <w:t xml:space="preserve">The Delft3D hydrodynamic model </w:t>
      </w:r>
      <w:r w:rsidR="00AA439C">
        <w:rPr>
          <w:rFonts w:ascii="Times New Roman" w:hAnsi="Times New Roman" w:cs="Times New Roman"/>
        </w:rPr>
        <w:t>wa</w:t>
      </w:r>
      <w:r w:rsidR="00E65518" w:rsidRPr="00011B46">
        <w:rPr>
          <w:rFonts w:ascii="Times New Roman" w:hAnsi="Times New Roman" w:cs="Times New Roman"/>
        </w:rPr>
        <w:t xml:space="preserve">s validated and applied to </w:t>
      </w:r>
      <w:r w:rsidR="00EE588F">
        <w:rPr>
          <w:rFonts w:ascii="Times New Roman" w:hAnsi="Times New Roman" w:cs="Times New Roman"/>
        </w:rPr>
        <w:t xml:space="preserve">an averaged flood year condition </w:t>
      </w:r>
      <w:r w:rsidR="00270808">
        <w:rPr>
          <w:rFonts w:ascii="Times New Roman" w:hAnsi="Times New Roman" w:cs="Times New Roman"/>
        </w:rPr>
        <w:t>and nine idealized scenarios</w:t>
      </w:r>
      <w:r w:rsidR="00EE588F">
        <w:rPr>
          <w:rFonts w:ascii="Times New Roman" w:hAnsi="Times New Roman" w:cs="Times New Roman"/>
        </w:rPr>
        <w:t xml:space="preserve"> covering the typical </w:t>
      </w:r>
      <w:r w:rsidR="00E65518" w:rsidRPr="00011B46">
        <w:rPr>
          <w:rFonts w:ascii="Times New Roman" w:hAnsi="Times New Roman" w:cs="Times New Roman"/>
        </w:rPr>
        <w:t xml:space="preserve">seasonal and annual variations of river runoff. </w:t>
      </w:r>
    </w:p>
    <w:p w14:paraId="4FAFE4A3" w14:textId="7F9111B4" w:rsidR="00E06209" w:rsidRPr="00E06209" w:rsidRDefault="00270808" w:rsidP="00E062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976BF2" w:rsidRPr="00011B46">
        <w:rPr>
          <w:rFonts w:ascii="Times New Roman" w:hAnsi="Times New Roman" w:cs="Times New Roman"/>
        </w:rPr>
        <w:t>esults</w:t>
      </w:r>
      <w:r w:rsidR="0037375F" w:rsidRPr="00011B46">
        <w:rPr>
          <w:rFonts w:ascii="Times New Roman" w:hAnsi="Times New Roman" w:cs="Times New Roman"/>
        </w:rPr>
        <w:t xml:space="preserve"> show that </w:t>
      </w:r>
      <w:r>
        <w:rPr>
          <w:rFonts w:ascii="Times New Roman" w:hAnsi="Times New Roman" w:cs="Times New Roman"/>
        </w:rPr>
        <w:t xml:space="preserve">the residual water level </w:t>
      </w:r>
      <w:r w:rsidR="00E7282E">
        <w:rPr>
          <w:rFonts w:ascii="Times New Roman" w:hAnsi="Times New Roman" w:cs="Times New Roman"/>
        </w:rPr>
        <w:t xml:space="preserve">slope and tidal damping rate increase with river discharge beyond 100 km of the estuary mouth. </w:t>
      </w:r>
      <w:r w:rsidR="00E7282E" w:rsidRPr="00E7282E">
        <w:rPr>
          <w:rFonts w:ascii="Times New Roman" w:hAnsi="Times New Roman" w:cs="Times New Roman"/>
        </w:rPr>
        <w:t xml:space="preserve">The balance between the generation and dissipation of </w:t>
      </w:r>
      <w:proofErr w:type="spellStart"/>
      <w:r w:rsidR="00E7282E" w:rsidRPr="00E7282E">
        <w:rPr>
          <w:rFonts w:ascii="Times New Roman" w:hAnsi="Times New Roman" w:cs="Times New Roman"/>
        </w:rPr>
        <w:t>quarterdiurnal</w:t>
      </w:r>
      <w:proofErr w:type="spellEnd"/>
      <w:r w:rsidR="00E7282E" w:rsidRPr="00E7282E">
        <w:rPr>
          <w:rFonts w:ascii="Times New Roman" w:hAnsi="Times New Roman" w:cs="Times New Roman"/>
        </w:rPr>
        <w:t xml:space="preserve"> tides shifts spatially </w:t>
      </w:r>
      <w:proofErr w:type="gramStart"/>
      <w:r w:rsidR="00E7282E" w:rsidRPr="00E7282E">
        <w:rPr>
          <w:rFonts w:ascii="Times New Roman" w:hAnsi="Times New Roman" w:cs="Times New Roman"/>
        </w:rPr>
        <w:t>as a result of</w:t>
      </w:r>
      <w:proofErr w:type="gramEnd"/>
      <w:r w:rsidR="00E7282E" w:rsidRPr="00E7282E">
        <w:rPr>
          <w:rFonts w:ascii="Times New Roman" w:hAnsi="Times New Roman" w:cs="Times New Roman"/>
        </w:rPr>
        <w:t xml:space="preserve"> changes in channel convergence and friction, and temporally as a function of river discharge, which controls the total friction in the upper tidal river.</w:t>
      </w:r>
      <w:r w:rsidR="00E7282E">
        <w:rPr>
          <w:rFonts w:ascii="Times New Roman" w:hAnsi="Times New Roman" w:cs="Times New Roman"/>
        </w:rPr>
        <w:t xml:space="preserve"> The residual velocity generated by river discharge and the velocity of principal tides </w:t>
      </w:r>
      <w:r w:rsidR="00624A4E">
        <w:rPr>
          <w:rFonts w:ascii="Times New Roman" w:hAnsi="Times New Roman" w:cs="Times New Roman"/>
        </w:rPr>
        <w:t>determine</w:t>
      </w:r>
      <w:r w:rsidR="00E7282E">
        <w:rPr>
          <w:rFonts w:ascii="Times New Roman" w:hAnsi="Times New Roman" w:cs="Times New Roman"/>
        </w:rPr>
        <w:t xml:space="preserve"> the balance between tidal dissipation and generation.</w:t>
      </w:r>
      <w:r w:rsidR="00E06209">
        <w:rPr>
          <w:rFonts w:ascii="Times New Roman" w:hAnsi="Times New Roman" w:cs="Times New Roman"/>
        </w:rPr>
        <w:t xml:space="preserve"> A</w:t>
      </w:r>
      <w:r w:rsidR="00E06209" w:rsidRPr="00E06209">
        <w:rPr>
          <w:rFonts w:ascii="Times New Roman" w:hAnsi="Times New Roman" w:cs="Times New Roman"/>
        </w:rPr>
        <w:t xml:space="preserve">n optimal condition of dissipation of semidiurnal tides and generation of </w:t>
      </w:r>
      <w:proofErr w:type="spellStart"/>
      <w:r w:rsidR="00E06209" w:rsidRPr="00E06209">
        <w:rPr>
          <w:rFonts w:ascii="Times New Roman" w:hAnsi="Times New Roman" w:cs="Times New Roman"/>
        </w:rPr>
        <w:t>quarterdiurnal</w:t>
      </w:r>
      <w:proofErr w:type="spellEnd"/>
      <w:r w:rsidR="00E06209" w:rsidRPr="00E06209">
        <w:rPr>
          <w:rFonts w:ascii="Times New Roman" w:hAnsi="Times New Roman" w:cs="Times New Roman"/>
        </w:rPr>
        <w:t xml:space="preserve"> tides</w:t>
      </w:r>
      <w:r w:rsidR="00E06209">
        <w:rPr>
          <w:rFonts w:ascii="Times New Roman" w:hAnsi="Times New Roman" w:cs="Times New Roman"/>
        </w:rPr>
        <w:t xml:space="preserve"> is </w:t>
      </w:r>
      <w:r w:rsidR="006D4F8A">
        <w:rPr>
          <w:rFonts w:ascii="Times New Roman" w:hAnsi="Times New Roman" w:cs="Times New Roman"/>
        </w:rPr>
        <w:t>observed at c</w:t>
      </w:r>
      <w:r w:rsidR="006D4F8A" w:rsidRPr="00E06209">
        <w:rPr>
          <w:rFonts w:ascii="Times New Roman" w:hAnsi="Times New Roman" w:cs="Times New Roman"/>
        </w:rPr>
        <w:t xml:space="preserve">ritical river discharge thresholds </w:t>
      </w:r>
      <w:r w:rsidR="006D4F8A">
        <w:rPr>
          <w:rFonts w:ascii="Times New Roman" w:hAnsi="Times New Roman" w:cs="Times New Roman"/>
        </w:rPr>
        <w:t>that modulate</w:t>
      </w:r>
      <w:r w:rsidR="00E06209" w:rsidRPr="00E06209">
        <w:rPr>
          <w:rFonts w:ascii="Times New Roman" w:hAnsi="Times New Roman" w:cs="Times New Roman"/>
        </w:rPr>
        <w:t xml:space="preserve"> through friction at the upper and middle estuary. River discharge above the critical river discharge amount more rapidly dissipates both semidiurnal and </w:t>
      </w:r>
      <w:proofErr w:type="spellStart"/>
      <w:r w:rsidR="00E06209" w:rsidRPr="00E06209">
        <w:rPr>
          <w:rFonts w:ascii="Times New Roman" w:hAnsi="Times New Roman" w:cs="Times New Roman"/>
        </w:rPr>
        <w:t>quarterdiurnal</w:t>
      </w:r>
      <w:proofErr w:type="spellEnd"/>
      <w:r w:rsidR="00E06209" w:rsidRPr="00E06209">
        <w:rPr>
          <w:rFonts w:ascii="Times New Roman" w:hAnsi="Times New Roman" w:cs="Times New Roman"/>
        </w:rPr>
        <w:t xml:space="preserve"> tides than generates </w:t>
      </w:r>
      <w:proofErr w:type="spellStart"/>
      <w:r w:rsidR="00E06209" w:rsidRPr="00E06209">
        <w:rPr>
          <w:rFonts w:ascii="Times New Roman" w:hAnsi="Times New Roman" w:cs="Times New Roman"/>
        </w:rPr>
        <w:t>quarterdiurnal</w:t>
      </w:r>
      <w:proofErr w:type="spellEnd"/>
      <w:r w:rsidR="00E06209" w:rsidRPr="00E06209">
        <w:rPr>
          <w:rFonts w:ascii="Times New Roman" w:hAnsi="Times New Roman" w:cs="Times New Roman"/>
        </w:rPr>
        <w:t xml:space="preserve"> tides from nonlinear interactions.</w:t>
      </w:r>
      <w:r w:rsidR="00E06209" w:rsidRPr="00E06209" w:rsidDel="00310D4B">
        <w:rPr>
          <w:rFonts w:ascii="Times New Roman" w:hAnsi="Times New Roman" w:cs="Times New Roman"/>
        </w:rPr>
        <w:t xml:space="preserve"> </w:t>
      </w:r>
      <w:r w:rsidR="00E06209">
        <w:rPr>
          <w:rFonts w:ascii="Times New Roman" w:hAnsi="Times New Roman" w:cs="Times New Roman"/>
        </w:rPr>
        <w:t xml:space="preserve">Tidal component with longer period like MSF tide can propagate beyond 200 km from the mouth where other tides are </w:t>
      </w:r>
      <w:r w:rsidR="00576995">
        <w:rPr>
          <w:rFonts w:ascii="Times New Roman" w:hAnsi="Times New Roman" w:cs="Times New Roman"/>
        </w:rPr>
        <w:t>completely dissipated</w:t>
      </w:r>
      <w:r w:rsidR="00E06209">
        <w:rPr>
          <w:rFonts w:ascii="Times New Roman" w:hAnsi="Times New Roman" w:cs="Times New Roman"/>
        </w:rPr>
        <w:t xml:space="preserve">. </w:t>
      </w:r>
    </w:p>
    <w:p w14:paraId="56B743C6" w14:textId="77777777" w:rsidR="00E06209" w:rsidRPr="00E06209" w:rsidRDefault="00E06209" w:rsidP="00D11778">
      <w:pPr>
        <w:jc w:val="both"/>
        <w:rPr>
          <w:rFonts w:ascii="Times New Roman" w:hAnsi="Times New Roman" w:cs="Times New Roman"/>
        </w:rPr>
      </w:pPr>
    </w:p>
    <w:p w14:paraId="153D35BC" w14:textId="77777777" w:rsidR="00E65518" w:rsidRPr="00011B46" w:rsidRDefault="00E65518" w:rsidP="00D11778">
      <w:pPr>
        <w:jc w:val="both"/>
        <w:rPr>
          <w:rFonts w:ascii="Times New Roman" w:hAnsi="Times New Roman" w:cs="Times New Roman"/>
        </w:rPr>
      </w:pPr>
    </w:p>
    <w:p w14:paraId="250273EC" w14:textId="77777777" w:rsidR="00404657" w:rsidRDefault="00404657" w:rsidP="00404657">
      <w:pPr>
        <w:jc w:val="both"/>
        <w:rPr>
          <w:rStyle w:val="author"/>
          <w:rFonts w:ascii="Arial" w:hAnsi="Arial" w:cs="Arial"/>
          <w:color w:val="1C1D1E"/>
          <w:sz w:val="21"/>
          <w:szCs w:val="21"/>
          <w:shd w:val="clear" w:color="auto" w:fill="FFFFFF"/>
        </w:rPr>
      </w:pPr>
      <w:r>
        <w:rPr>
          <w:rStyle w:val="author"/>
          <w:rFonts w:ascii="Arial" w:hAnsi="Arial" w:cs="Arial"/>
          <w:color w:val="1C1D1E"/>
          <w:sz w:val="21"/>
          <w:szCs w:val="21"/>
          <w:shd w:val="clear" w:color="auto" w:fill="FFFFFF"/>
        </w:rPr>
        <w:t>Reference:</w:t>
      </w:r>
    </w:p>
    <w:p w14:paraId="6A25E59F" w14:textId="77777777" w:rsidR="00404657" w:rsidRDefault="00404657" w:rsidP="00404657">
      <w:pPr>
        <w:jc w:val="both"/>
        <w:rPr>
          <w:rFonts w:ascii="Times New Roman" w:hAnsi="Times New Roman" w:cs="Times New Roman"/>
        </w:rPr>
      </w:pPr>
      <w:r>
        <w:rPr>
          <w:rStyle w:val="author"/>
          <w:rFonts w:ascii="Arial" w:hAnsi="Arial" w:cs="Arial"/>
          <w:color w:val="1C1D1E"/>
          <w:sz w:val="21"/>
          <w:szCs w:val="21"/>
          <w:shd w:val="clear" w:color="auto" w:fill="FFFFFF"/>
        </w:rPr>
        <w:t>Elahi, M. W. E.</w:t>
      </w:r>
      <w:r>
        <w:rPr>
          <w:rFonts w:ascii="Arial" w:hAnsi="Arial" w:cs="Arial"/>
          <w:color w:val="1C1D1E"/>
          <w:sz w:val="21"/>
          <w:szCs w:val="21"/>
          <w:shd w:val="clear" w:color="auto" w:fill="FFFFFF"/>
        </w:rPr>
        <w:t>, </w:t>
      </w:r>
      <w:proofErr w:type="spellStart"/>
      <w:r>
        <w:rPr>
          <w:rStyle w:val="author"/>
          <w:rFonts w:ascii="Arial" w:hAnsi="Arial" w:cs="Arial"/>
          <w:color w:val="1C1D1E"/>
          <w:sz w:val="21"/>
          <w:szCs w:val="21"/>
          <w:shd w:val="clear" w:color="auto" w:fill="FFFFFF"/>
        </w:rPr>
        <w:t>Jalón</w:t>
      </w:r>
      <w:proofErr w:type="spellEnd"/>
      <w:r>
        <w:rPr>
          <w:rStyle w:val="author"/>
          <w:rFonts w:ascii="Cambria Math" w:hAnsi="Cambria Math" w:cs="Cambria Math"/>
          <w:color w:val="1C1D1E"/>
          <w:sz w:val="21"/>
          <w:szCs w:val="21"/>
          <w:shd w:val="clear" w:color="auto" w:fill="FFFFFF"/>
        </w:rPr>
        <w:t>‐</w:t>
      </w:r>
      <w:r>
        <w:rPr>
          <w:rStyle w:val="author"/>
          <w:rFonts w:ascii="Arial" w:hAnsi="Arial" w:cs="Arial"/>
          <w:color w:val="1C1D1E"/>
          <w:sz w:val="21"/>
          <w:szCs w:val="21"/>
          <w:shd w:val="clear" w:color="auto" w:fill="FFFFFF"/>
        </w:rPr>
        <w:t>Rojas, I.</w:t>
      </w:r>
      <w:r>
        <w:rPr>
          <w:rFonts w:ascii="Arial" w:hAnsi="Arial" w:cs="Arial"/>
          <w:color w:val="1C1D1E"/>
          <w:sz w:val="21"/>
          <w:szCs w:val="21"/>
          <w:shd w:val="clear" w:color="auto" w:fill="FFFFFF"/>
        </w:rPr>
        <w:t>, </w:t>
      </w:r>
      <w:r>
        <w:rPr>
          <w:rStyle w:val="author"/>
          <w:rFonts w:ascii="Arial" w:hAnsi="Arial" w:cs="Arial"/>
          <w:color w:val="1C1D1E"/>
          <w:sz w:val="21"/>
          <w:szCs w:val="21"/>
          <w:shd w:val="clear" w:color="auto" w:fill="FFFFFF"/>
        </w:rPr>
        <w:t>Wang, X. H.</w:t>
      </w:r>
      <w:r>
        <w:rPr>
          <w:rFonts w:ascii="Arial" w:hAnsi="Arial" w:cs="Arial"/>
          <w:color w:val="1C1D1E"/>
          <w:sz w:val="21"/>
          <w:szCs w:val="21"/>
          <w:shd w:val="clear" w:color="auto" w:fill="FFFFFF"/>
        </w:rPr>
        <w:t>, &amp; </w:t>
      </w:r>
      <w:r>
        <w:rPr>
          <w:rStyle w:val="author"/>
          <w:rFonts w:ascii="Arial" w:hAnsi="Arial" w:cs="Arial"/>
          <w:color w:val="1C1D1E"/>
          <w:sz w:val="21"/>
          <w:szCs w:val="21"/>
          <w:shd w:val="clear" w:color="auto" w:fill="FFFFFF"/>
        </w:rPr>
        <w:t>Ritchie, E. A.</w:t>
      </w:r>
      <w:r>
        <w:rPr>
          <w:rFonts w:ascii="Arial" w:hAnsi="Arial" w:cs="Arial"/>
          <w:color w:val="1C1D1E"/>
          <w:sz w:val="21"/>
          <w:szCs w:val="21"/>
          <w:shd w:val="clear" w:color="auto" w:fill="FFFFFF"/>
        </w:rPr>
        <w:t> (</w:t>
      </w:r>
      <w:r>
        <w:rPr>
          <w:rStyle w:val="pubyear"/>
          <w:rFonts w:ascii="Arial" w:hAnsi="Arial" w:cs="Arial"/>
          <w:color w:val="1C1D1E"/>
          <w:sz w:val="21"/>
          <w:szCs w:val="21"/>
          <w:shd w:val="clear" w:color="auto" w:fill="FFFFFF"/>
        </w:rPr>
        <w:t>2020</w:t>
      </w:r>
      <w:r>
        <w:rPr>
          <w:rFonts w:ascii="Arial" w:hAnsi="Arial" w:cs="Arial"/>
          <w:color w:val="1C1D1E"/>
          <w:sz w:val="21"/>
          <w:szCs w:val="21"/>
          <w:shd w:val="clear" w:color="auto" w:fill="FFFFFF"/>
        </w:rPr>
        <w:t>). </w:t>
      </w:r>
      <w:r>
        <w:rPr>
          <w:rStyle w:val="articletitle"/>
          <w:rFonts w:ascii="Arial" w:hAnsi="Arial" w:cs="Arial"/>
          <w:color w:val="1C1D1E"/>
          <w:sz w:val="21"/>
          <w:szCs w:val="21"/>
          <w:shd w:val="clear" w:color="auto" w:fill="FFFFFF"/>
        </w:rPr>
        <w:t>Influence of seasonal river discharge on tidal propagation in the Ganges</w:t>
      </w:r>
      <w:r>
        <w:rPr>
          <w:rStyle w:val="articletitle"/>
          <w:rFonts w:ascii="Cambria Math" w:hAnsi="Cambria Math" w:cs="Cambria Math"/>
          <w:color w:val="1C1D1E"/>
          <w:sz w:val="21"/>
          <w:szCs w:val="21"/>
          <w:shd w:val="clear" w:color="auto" w:fill="FFFFFF"/>
        </w:rPr>
        <w:t>‐</w:t>
      </w:r>
      <w:r>
        <w:rPr>
          <w:rStyle w:val="articletitle"/>
          <w:rFonts w:ascii="Arial" w:hAnsi="Arial" w:cs="Arial"/>
          <w:color w:val="1C1D1E"/>
          <w:sz w:val="21"/>
          <w:szCs w:val="21"/>
          <w:shd w:val="clear" w:color="auto" w:fill="FFFFFF"/>
        </w:rPr>
        <w:t>Brahmaputra</w:t>
      </w:r>
      <w:r>
        <w:rPr>
          <w:rStyle w:val="articletitle"/>
          <w:rFonts w:ascii="Cambria Math" w:hAnsi="Cambria Math" w:cs="Cambria Math"/>
          <w:color w:val="1C1D1E"/>
          <w:sz w:val="21"/>
          <w:szCs w:val="21"/>
          <w:shd w:val="clear" w:color="auto" w:fill="FFFFFF"/>
        </w:rPr>
        <w:t>‐</w:t>
      </w:r>
      <w:r>
        <w:rPr>
          <w:rStyle w:val="articletitle"/>
          <w:rFonts w:ascii="Arial" w:hAnsi="Arial" w:cs="Arial"/>
          <w:color w:val="1C1D1E"/>
          <w:sz w:val="21"/>
          <w:szCs w:val="21"/>
          <w:shd w:val="clear" w:color="auto" w:fill="FFFFFF"/>
        </w:rPr>
        <w:t>Meghna Delta, Bangladesh</w:t>
      </w:r>
      <w:r>
        <w:rPr>
          <w:rFonts w:ascii="Arial" w:hAnsi="Arial" w:cs="Arial"/>
          <w:color w:val="1C1D1E"/>
          <w:sz w:val="21"/>
          <w:szCs w:val="21"/>
          <w:shd w:val="clear" w:color="auto" w:fill="FFFFFF"/>
        </w:rPr>
        <w:t>. </w:t>
      </w:r>
      <w:r>
        <w:rPr>
          <w:rFonts w:ascii="Arial" w:hAnsi="Arial" w:cs="Arial"/>
          <w:i/>
          <w:iCs/>
          <w:color w:val="1C1D1E"/>
          <w:sz w:val="21"/>
          <w:szCs w:val="21"/>
          <w:shd w:val="clear" w:color="auto" w:fill="FFFFFF"/>
        </w:rPr>
        <w:t>Journal of Geophysical Research: Oceans</w:t>
      </w:r>
      <w:r>
        <w:rPr>
          <w:rFonts w:ascii="Arial" w:hAnsi="Arial" w:cs="Arial"/>
          <w:color w:val="1C1D1E"/>
          <w:sz w:val="21"/>
          <w:szCs w:val="21"/>
          <w:shd w:val="clear" w:color="auto" w:fill="FFFFFF"/>
        </w:rPr>
        <w:t>, </w:t>
      </w:r>
      <w:r>
        <w:rPr>
          <w:rStyle w:val="vol"/>
          <w:rFonts w:ascii="Arial" w:hAnsi="Arial" w:cs="Arial"/>
          <w:color w:val="1C1D1E"/>
          <w:sz w:val="21"/>
          <w:szCs w:val="21"/>
          <w:shd w:val="clear" w:color="auto" w:fill="FFFFFF"/>
        </w:rPr>
        <w:t>125</w:t>
      </w:r>
      <w:r>
        <w:rPr>
          <w:rFonts w:ascii="Arial" w:hAnsi="Arial" w:cs="Arial"/>
          <w:color w:val="1C1D1E"/>
          <w:sz w:val="21"/>
          <w:szCs w:val="21"/>
          <w:shd w:val="clear" w:color="auto" w:fill="FFFFFF"/>
        </w:rPr>
        <w:t>, e2020JC016417. </w:t>
      </w:r>
      <w:hyperlink r:id="rId6" w:history="1">
        <w:r>
          <w:rPr>
            <w:rStyle w:val="Hyperlink"/>
            <w:rFonts w:ascii="Arial" w:hAnsi="Arial" w:cs="Arial"/>
            <w:color w:val="005274"/>
            <w:sz w:val="21"/>
            <w:szCs w:val="21"/>
            <w:shd w:val="clear" w:color="auto" w:fill="FFFFFF"/>
          </w:rPr>
          <w:t>https://doi.org/10.1029/2020JC016417</w:t>
        </w:r>
      </w:hyperlink>
    </w:p>
    <w:p w14:paraId="70DA4E48" w14:textId="77777777" w:rsidR="00E65518" w:rsidRPr="00011B46" w:rsidRDefault="00E65518" w:rsidP="00D11778">
      <w:pPr>
        <w:jc w:val="both"/>
        <w:rPr>
          <w:rFonts w:ascii="Times New Roman" w:hAnsi="Times New Roman" w:cs="Times New Roman"/>
        </w:rPr>
      </w:pPr>
    </w:p>
    <w:sectPr w:rsidR="00E65518" w:rsidRPr="00011B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6EAF9" w14:textId="77777777" w:rsidR="0033380A" w:rsidRDefault="0033380A" w:rsidP="00F44C8C">
      <w:pPr>
        <w:spacing w:after="0" w:line="240" w:lineRule="auto"/>
      </w:pPr>
      <w:r>
        <w:separator/>
      </w:r>
    </w:p>
  </w:endnote>
  <w:endnote w:type="continuationSeparator" w:id="0">
    <w:p w14:paraId="69623EBB" w14:textId="77777777" w:rsidR="0033380A" w:rsidRDefault="0033380A" w:rsidP="00F4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98848" w14:textId="77777777" w:rsidR="0033380A" w:rsidRDefault="0033380A" w:rsidP="00F44C8C">
      <w:pPr>
        <w:spacing w:after="0" w:line="240" w:lineRule="auto"/>
      </w:pPr>
      <w:r>
        <w:separator/>
      </w:r>
    </w:p>
  </w:footnote>
  <w:footnote w:type="continuationSeparator" w:id="0">
    <w:p w14:paraId="66BCB45E" w14:textId="77777777" w:rsidR="0033380A" w:rsidRDefault="0033380A" w:rsidP="00F4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1D2A0" w14:textId="5BE0C374" w:rsidR="00F44C8C" w:rsidRDefault="00F44C8C">
    <w:pPr>
      <w:pStyle w:val="Header"/>
    </w:pPr>
    <w:r>
      <w:rPr>
        <w:rFonts w:ascii="Arial" w:hAnsi="Arial" w:cs="Arial"/>
        <w:color w:val="666666"/>
      </w:rPr>
      <w:t>The Virtual Physics of Estuaries and Coastal Seas Seminar Series (V-PECS)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zMLOwNDU0NTAzMjBX0lEKTi0uzszPAykwqwUAMfveqywAAAA="/>
  </w:docVars>
  <w:rsids>
    <w:rsidRoot w:val="00036486"/>
    <w:rsid w:val="00011B46"/>
    <w:rsid w:val="00036486"/>
    <w:rsid w:val="00113900"/>
    <w:rsid w:val="00156115"/>
    <w:rsid w:val="00171BA4"/>
    <w:rsid w:val="00270808"/>
    <w:rsid w:val="0033380A"/>
    <w:rsid w:val="00342F82"/>
    <w:rsid w:val="0037375F"/>
    <w:rsid w:val="003F4B8E"/>
    <w:rsid w:val="00404657"/>
    <w:rsid w:val="00490282"/>
    <w:rsid w:val="005013F4"/>
    <w:rsid w:val="00554FBE"/>
    <w:rsid w:val="00576995"/>
    <w:rsid w:val="00624A4E"/>
    <w:rsid w:val="006A5F5F"/>
    <w:rsid w:val="006D4F8A"/>
    <w:rsid w:val="007A5FBC"/>
    <w:rsid w:val="007F4C1C"/>
    <w:rsid w:val="00830FED"/>
    <w:rsid w:val="008733E4"/>
    <w:rsid w:val="008E201B"/>
    <w:rsid w:val="00917A02"/>
    <w:rsid w:val="00976BF2"/>
    <w:rsid w:val="00A07A56"/>
    <w:rsid w:val="00A8037C"/>
    <w:rsid w:val="00A81D13"/>
    <w:rsid w:val="00AA439C"/>
    <w:rsid w:val="00B52E53"/>
    <w:rsid w:val="00D01AB3"/>
    <w:rsid w:val="00D11778"/>
    <w:rsid w:val="00E06209"/>
    <w:rsid w:val="00E65518"/>
    <w:rsid w:val="00E7282E"/>
    <w:rsid w:val="00EE588F"/>
    <w:rsid w:val="00F4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4AE47"/>
  <w15:chartTrackingRefBased/>
  <w15:docId w15:val="{0858E325-8110-44DB-8376-B98548D6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78"/>
    <w:rPr>
      <w:rFonts w:ascii="Segoe UI" w:hAnsi="Segoe UI" w:cs="Segoe UI"/>
      <w:sz w:val="18"/>
      <w:szCs w:val="18"/>
    </w:rPr>
  </w:style>
  <w:style w:type="paragraph" w:customStyle="1" w:styleId="Abstract">
    <w:name w:val="Abstract"/>
    <w:basedOn w:val="Normal"/>
    <w:qFormat/>
    <w:rsid w:val="00E6551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2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0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01B"/>
    <w:rPr>
      <w:b/>
      <w:bCs/>
      <w:sz w:val="20"/>
      <w:szCs w:val="20"/>
    </w:rPr>
  </w:style>
  <w:style w:type="paragraph" w:customStyle="1" w:styleId="Authors">
    <w:name w:val="Authors"/>
    <w:basedOn w:val="Normal"/>
    <w:rsid w:val="00624A4E"/>
    <w:pPr>
      <w:spacing w:before="120" w:after="36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iliation">
    <w:name w:val="Affiliation"/>
    <w:basedOn w:val="Normal"/>
    <w:qFormat/>
    <w:rsid w:val="00624A4E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4657"/>
    <w:rPr>
      <w:color w:val="0000FF"/>
      <w:u w:val="single"/>
    </w:rPr>
  </w:style>
  <w:style w:type="character" w:customStyle="1" w:styleId="author">
    <w:name w:val="author"/>
    <w:basedOn w:val="DefaultParagraphFont"/>
    <w:rsid w:val="00404657"/>
  </w:style>
  <w:style w:type="character" w:customStyle="1" w:styleId="pubyear">
    <w:name w:val="pubyear"/>
    <w:basedOn w:val="DefaultParagraphFont"/>
    <w:rsid w:val="00404657"/>
  </w:style>
  <w:style w:type="character" w:customStyle="1" w:styleId="articletitle">
    <w:name w:val="articletitle"/>
    <w:basedOn w:val="DefaultParagraphFont"/>
    <w:rsid w:val="00404657"/>
  </w:style>
  <w:style w:type="character" w:customStyle="1" w:styleId="vol">
    <w:name w:val="vol"/>
    <w:basedOn w:val="DefaultParagraphFont"/>
    <w:rsid w:val="00404657"/>
  </w:style>
  <w:style w:type="paragraph" w:styleId="Header">
    <w:name w:val="header"/>
    <w:basedOn w:val="Normal"/>
    <w:link w:val="HeaderChar"/>
    <w:uiPriority w:val="99"/>
    <w:unhideWhenUsed/>
    <w:rsid w:val="00F44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C8C"/>
  </w:style>
  <w:style w:type="paragraph" w:styleId="Footer">
    <w:name w:val="footer"/>
    <w:basedOn w:val="Normal"/>
    <w:link w:val="FooterChar"/>
    <w:uiPriority w:val="99"/>
    <w:unhideWhenUsed/>
    <w:rsid w:val="00F44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29/2020JC01641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Wasif E Elahi</dc:creator>
  <cp:keywords/>
  <dc:description/>
  <cp:lastModifiedBy>Md Wasif E Elahi</cp:lastModifiedBy>
  <cp:revision>4</cp:revision>
  <dcterms:created xsi:type="dcterms:W3CDTF">2020-10-30T05:27:00Z</dcterms:created>
  <dcterms:modified xsi:type="dcterms:W3CDTF">2020-10-30T05:33:00Z</dcterms:modified>
</cp:coreProperties>
</file>